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Abstract taken from  </w:t>
      </w:r>
      <w:hyperlink r:id="rId7">
        <w:r w:rsidDel="00000000" w:rsidR="00000000" w:rsidRPr="00000000">
          <w:rPr>
            <w:color w:val="1155cc"/>
            <w:u w:val="single"/>
            <w:rtl w:val="0"/>
          </w:rPr>
          <w:t xml:space="preserve">http://studentarbeten.chalmers.se/publication/202966-seu-mitigation-techniques-for-advanced-reprogrammable-fpga-in-space</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color w:val="333333"/>
          <w:sz w:val="16"/>
          <w:szCs w:val="16"/>
          <w:highlight w:val="white"/>
          <w:rtl w:val="0"/>
        </w:rPr>
        <w:t xml:space="preserve">Brosser, F. och Milh, E. (2014) </w:t>
      </w:r>
      <w:r w:rsidDel="00000000" w:rsidR="00000000" w:rsidRPr="00000000">
        <w:rPr>
          <w:i w:val="1"/>
          <w:color w:val="333333"/>
          <w:sz w:val="16"/>
          <w:szCs w:val="16"/>
          <w:highlight w:val="white"/>
          <w:rtl w:val="0"/>
        </w:rPr>
        <w:t xml:space="preserve">SEU Mitigation Techniques for Advanced Reprogrammable FPGA in Space</w:t>
      </w:r>
      <w:r w:rsidDel="00000000" w:rsidR="00000000" w:rsidRPr="00000000">
        <w:rPr>
          <w:color w:val="333333"/>
          <w:sz w:val="16"/>
          <w:szCs w:val="16"/>
          <w:highlight w:val="white"/>
          <w:rtl w:val="0"/>
        </w:rPr>
        <w:t xml:space="preserve">. Göteborg : Chalmers University of Technology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commentRangeStart w:id="0"/>
      <w:commentRangeStart w:id="1"/>
      <w:r w:rsidDel="00000000" w:rsidR="00000000" w:rsidRPr="00000000">
        <w:rPr>
          <w:rtl w:val="0"/>
        </w:rPr>
        <w:t xml:space="preserve">FPGAs are becoming increasingly attractive for use in space applications due to their</w:t>
      </w:r>
    </w:p>
    <w:p w:rsidR="00000000" w:rsidDel="00000000" w:rsidP="00000000" w:rsidRDefault="00000000" w:rsidRPr="00000000" w14:paraId="00000006">
      <w:pPr>
        <w:rPr/>
      </w:pPr>
      <w:r w:rsidDel="00000000" w:rsidR="00000000" w:rsidRPr="00000000">
        <w:rPr>
          <w:rtl w:val="0"/>
        </w:rPr>
        <w:t xml:space="preserve">reconfiguration and signal processing capabilities, as well as their increasing speed</w:t>
      </w:r>
    </w:p>
    <w:p w:rsidR="00000000" w:rsidDel="00000000" w:rsidP="00000000" w:rsidRDefault="00000000" w:rsidRPr="00000000" w14:paraId="00000007">
      <w:pPr>
        <w:rPr/>
      </w:pPr>
      <w:r w:rsidDel="00000000" w:rsidR="00000000" w:rsidRPr="00000000">
        <w:rPr>
          <w:rtl w:val="0"/>
        </w:rPr>
        <w:t xml:space="preserve">and capacity. Traditional SRAM-based FPGAs, however, are highly sensitive to the</w:t>
      </w:r>
    </w:p>
    <w:p w:rsidR="00000000" w:rsidDel="00000000" w:rsidP="00000000" w:rsidRDefault="00000000" w:rsidRPr="00000000" w14:paraId="00000008">
      <w:pPr>
        <w:rPr/>
      </w:pPr>
      <w:r w:rsidDel="00000000" w:rsidR="00000000" w:rsidRPr="00000000">
        <w:rPr>
          <w:rtl w:val="0"/>
        </w:rPr>
        <w:t xml:space="preserve">ionising radiation environment in space, making them prone to radiation-induced</w:t>
      </w:r>
    </w:p>
    <w:p w:rsidR="00000000" w:rsidDel="00000000" w:rsidP="00000000" w:rsidRDefault="00000000" w:rsidRPr="00000000" w14:paraId="00000009">
      <w:pPr>
        <w:rPr>
          <w:color w:val="741b47"/>
        </w:rPr>
      </w:pPr>
      <w:r w:rsidDel="00000000" w:rsidR="00000000" w:rsidRPr="00000000">
        <w:rPr>
          <w:rtl w:val="0"/>
        </w:rPr>
        <w:t xml:space="preserve">memory upsets</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w:t>
      </w:r>
      <w:commentRangeStart w:id="2"/>
      <w:r w:rsidDel="00000000" w:rsidR="00000000" w:rsidRPr="00000000">
        <w:rPr>
          <w:color w:val="741b47"/>
          <w:rtl w:val="0"/>
        </w:rPr>
        <w:t xml:space="preserve">In this thesis, design techniques for mitigating such upsets are</w:t>
      </w:r>
    </w:p>
    <w:p w:rsidR="00000000" w:rsidDel="00000000" w:rsidP="00000000" w:rsidRDefault="00000000" w:rsidRPr="00000000" w14:paraId="0000000A">
      <w:pPr>
        <w:rPr>
          <w:color w:val="9900ff"/>
        </w:rPr>
      </w:pPr>
      <w:r w:rsidDel="00000000" w:rsidR="00000000" w:rsidRPr="00000000">
        <w:rPr>
          <w:color w:val="741b47"/>
          <w:rtl w:val="0"/>
        </w:rPr>
        <w:t xml:space="preserve">implemented, tested and evaluated</w:t>
      </w:r>
      <w:commentRangeEnd w:id="2"/>
      <w:r w:rsidDel="00000000" w:rsidR="00000000" w:rsidRPr="00000000">
        <w:commentReference w:id="2"/>
      </w:r>
      <w:r w:rsidDel="00000000" w:rsidR="00000000" w:rsidRPr="00000000">
        <w:rPr>
          <w:rtl w:val="0"/>
        </w:rPr>
        <w:t xml:space="preserve">, with the</w:t>
      </w:r>
      <w:commentRangeStart w:id="3"/>
      <w:r w:rsidDel="00000000" w:rsidR="00000000" w:rsidRPr="00000000">
        <w:rPr>
          <w:rtl w:val="0"/>
        </w:rPr>
        <w:t xml:space="preserve"> </w:t>
      </w:r>
      <w:r w:rsidDel="00000000" w:rsidR="00000000" w:rsidRPr="00000000">
        <w:rPr>
          <w:color w:val="9900ff"/>
          <w:rtl w:val="0"/>
        </w:rPr>
        <w:t xml:space="preserve">purpose of enabling a replacement of</w:t>
      </w:r>
    </w:p>
    <w:p w:rsidR="00000000" w:rsidDel="00000000" w:rsidP="00000000" w:rsidRDefault="00000000" w:rsidRPr="00000000" w14:paraId="0000000B">
      <w:pPr>
        <w:rPr>
          <w:color w:val="9900ff"/>
        </w:rPr>
      </w:pPr>
      <w:r w:rsidDel="00000000" w:rsidR="00000000" w:rsidRPr="00000000">
        <w:rPr>
          <w:color w:val="9900ff"/>
          <w:rtl w:val="0"/>
        </w:rPr>
        <w:t xml:space="preserve">conventional radiation-hardened or antifuse FPGAs with Xilinx commercial SRAM-</w:t>
      </w:r>
    </w:p>
    <w:p w:rsidR="00000000" w:rsidDel="00000000" w:rsidP="00000000" w:rsidRDefault="00000000" w:rsidRPr="00000000" w14:paraId="0000000C">
      <w:pPr>
        <w:rPr>
          <w:color w:val="9900ff"/>
        </w:rPr>
      </w:pPr>
      <w:r w:rsidDel="00000000" w:rsidR="00000000" w:rsidRPr="00000000">
        <w:rPr>
          <w:color w:val="9900ff"/>
          <w:rtl w:val="0"/>
        </w:rPr>
        <w:t xml:space="preserve">based FPGAs.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38761d"/>
        </w:rPr>
      </w:pPr>
      <w:commentRangeStart w:id="4"/>
      <w:r w:rsidDel="00000000" w:rsidR="00000000" w:rsidRPr="00000000">
        <w:rPr>
          <w:color w:val="38761d"/>
          <w:rtl w:val="0"/>
        </w:rPr>
        <w:t xml:space="preserve">A test framework using an exchangeable payload is developed for this purpose and run</w:t>
      </w:r>
    </w:p>
    <w:p w:rsidR="00000000" w:rsidDel="00000000" w:rsidP="00000000" w:rsidRDefault="00000000" w:rsidRPr="00000000" w14:paraId="0000000F">
      <w:pPr>
        <w:rPr>
          <w:color w:val="38761d"/>
        </w:rPr>
      </w:pPr>
      <w:r w:rsidDel="00000000" w:rsidR="00000000" w:rsidRPr="00000000">
        <w:rPr>
          <w:color w:val="38761d"/>
          <w:rtl w:val="0"/>
        </w:rPr>
        <w:t xml:space="preserve">on a Xilinx Virtex-5 FPGA. A payload application is selected and used to test and</w:t>
      </w:r>
    </w:p>
    <w:p w:rsidR="00000000" w:rsidDel="00000000" w:rsidP="00000000" w:rsidRDefault="00000000" w:rsidRPr="00000000" w14:paraId="00000010">
      <w:pPr>
        <w:rPr>
          <w:color w:val="38761d"/>
        </w:rPr>
      </w:pPr>
      <w:r w:rsidDel="00000000" w:rsidR="00000000" w:rsidRPr="00000000">
        <w:rPr>
          <w:color w:val="38761d"/>
          <w:rtl w:val="0"/>
        </w:rPr>
        <w:t xml:space="preserve">compare the gains and costs related to different levels of redundancy and different</w:t>
      </w:r>
    </w:p>
    <w:p w:rsidR="00000000" w:rsidDel="00000000" w:rsidP="00000000" w:rsidRDefault="00000000" w:rsidRPr="00000000" w14:paraId="00000011">
      <w:pPr>
        <w:rPr>
          <w:color w:val="38761d"/>
        </w:rPr>
      </w:pPr>
      <w:r w:rsidDel="00000000" w:rsidR="00000000" w:rsidRPr="00000000">
        <w:rPr>
          <w:color w:val="38761d"/>
          <w:rtl w:val="0"/>
        </w:rPr>
        <w:t xml:space="preserve">FPGA configuration memory scrubbing methods. In comparing soft error mitigation</w:t>
      </w:r>
    </w:p>
    <w:p w:rsidR="00000000" w:rsidDel="00000000" w:rsidP="00000000" w:rsidRDefault="00000000" w:rsidRPr="00000000" w14:paraId="00000012">
      <w:pPr>
        <w:rPr>
          <w:color w:val="38761d"/>
        </w:rPr>
      </w:pPr>
      <w:r w:rsidDel="00000000" w:rsidR="00000000" w:rsidRPr="00000000">
        <w:rPr>
          <w:color w:val="38761d"/>
          <w:rtl w:val="0"/>
        </w:rPr>
        <w:t xml:space="preserve">methods, test results for availability, resource usage, mean time to failure and faults in</w:t>
      </w:r>
    </w:p>
    <w:p w:rsidR="00000000" w:rsidDel="00000000" w:rsidP="00000000" w:rsidRDefault="00000000" w:rsidRPr="00000000" w14:paraId="00000013">
      <w:pPr>
        <w:rPr>
          <w:color w:val="38761d"/>
        </w:rPr>
      </w:pPr>
      <w:r w:rsidDel="00000000" w:rsidR="00000000" w:rsidRPr="00000000">
        <w:rPr>
          <w:color w:val="38761d"/>
          <w:rtl w:val="0"/>
        </w:rPr>
        <w:t xml:space="preserve">time are considered. Realistic satellite orbit and radiation scenarios are considered,</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4">
      <w:pPr>
        <w:rPr>
          <w:color w:val="3c78d8"/>
        </w:rPr>
      </w:pPr>
      <w:r w:rsidDel="00000000" w:rsidR="00000000" w:rsidRPr="00000000">
        <w:rPr>
          <w:color w:val="3c78d8"/>
          <w:rtl w:val="0"/>
        </w:rPr>
        <w:t xml:space="preserve">and </w:t>
      </w:r>
      <w:commentRangeStart w:id="5"/>
      <w:r w:rsidDel="00000000" w:rsidR="00000000" w:rsidRPr="00000000">
        <w:rPr>
          <w:color w:val="3c78d8"/>
          <w:rtl w:val="0"/>
        </w:rPr>
        <w:t xml:space="preserve">a complete example application is presented.</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5">
      <w:pPr>
        <w:rPr>
          <w:color w:val="434343"/>
        </w:rPr>
      </w:pPr>
      <w:commentRangeStart w:id="6"/>
      <w:r w:rsidDel="00000000" w:rsidR="00000000" w:rsidRPr="00000000">
        <w:rPr>
          <w:color w:val="434343"/>
          <w:rtl w:val="0"/>
        </w:rPr>
        <w:t xml:space="preserve">The product of this work is a set of recommendations regarding the use of commercial</w:t>
      </w:r>
    </w:p>
    <w:p w:rsidR="00000000" w:rsidDel="00000000" w:rsidP="00000000" w:rsidRDefault="00000000" w:rsidRPr="00000000" w14:paraId="00000016">
      <w:pPr>
        <w:rPr>
          <w:color w:val="434343"/>
        </w:rPr>
      </w:pPr>
      <w:r w:rsidDel="00000000" w:rsidR="00000000" w:rsidRPr="00000000">
        <w:rPr>
          <w:color w:val="434343"/>
          <w:rtl w:val="0"/>
        </w:rPr>
        <w:t xml:space="preserve">SRAM-based FPGAs in space applications.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introduction and the method receive the most attention. The introduction provides some background information on the devices and the circumstantial factors central to the problem addressed by the thesis, as well emphasises the relevance of the report at the time of writing. </w:t>
      </w:r>
    </w:p>
    <w:p w:rsidR="00000000" w:rsidDel="00000000" w:rsidP="00000000" w:rsidRDefault="00000000" w:rsidRPr="00000000" w14:paraId="0000001A">
      <w:pPr>
        <w:ind w:left="0" w:firstLine="720"/>
        <w:rPr/>
      </w:pPr>
      <w:r w:rsidDel="00000000" w:rsidR="00000000" w:rsidRPr="00000000">
        <w:rPr>
          <w:rtl w:val="0"/>
        </w:rPr>
        <w:t xml:space="preserve">The abstract largely succeeds in conveying the purpose and scope of the thesis as well as the method by which the results were obtained and, in the conclusion, how they can be used. The results themselves, however, are only referred to, and a more clear cut example of the usage of the developed product might be preferable. </w:t>
      </w:r>
    </w:p>
    <w:p w:rsidR="00000000" w:rsidDel="00000000" w:rsidP="00000000" w:rsidRDefault="00000000" w:rsidRPr="00000000" w14:paraId="0000001B">
      <w:pPr>
        <w:ind w:left="0" w:firstLine="720"/>
        <w:rPr/>
      </w:pPr>
      <w:r w:rsidDel="00000000" w:rsidR="00000000" w:rsidRPr="00000000">
        <w:rPr>
          <w:rtl w:val="0"/>
        </w:rPr>
        <w:t xml:space="preserve">The introduction, scope and purpose all refer to the so called “SEU” (Single-Event Upset) of the title but do not use the same name, missing an opportunity to explain the potentially confusing jargon in the title. The method is thorough and the amount of information presented, as well as its overall density, make its length seem justified, though the level of detail may arguably be excessive. Grammatically, there is too much repetition in this section, making it hard to follow. The conclusion implicitly refers to the thesis’ results and therefore covers both of these categories. </w:t>
      </w:r>
    </w:p>
    <w:p w:rsidR="00000000" w:rsidDel="00000000" w:rsidP="00000000" w:rsidRDefault="00000000" w:rsidRPr="00000000" w14:paraId="0000001C">
      <w:pPr>
        <w:ind w:left="0" w:firstLine="0"/>
        <w:rPr/>
      </w:pPr>
      <w:r w:rsidDel="00000000" w:rsidR="00000000" w:rsidRPr="00000000">
        <w:rPr>
          <w:rtl w:val="0"/>
        </w:rPr>
        <w:tab/>
        <w:t xml:space="preserve">Overall, the abstract is relatively easy for the average reader to understand, with some exceptions.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sectPr>
      <w:pgSz w:h="16838" w:w="11906"/>
      <w:pgMar w:bottom="1133.8582677165355" w:top="1440.0000000000002" w:left="1133.8582677165355" w:right="1133.858267716535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hrooffer" w:id="0" w:date="2018-02-13T19:31:50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w:t>
      </w:r>
    </w:p>
  </w:comment>
  <w:comment w:author="John Croft" w:id="1" w:date="2018-02-13T19:32:17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explain Purpose</w:t>
      </w:r>
    </w:p>
  </w:comment>
  <w:comment w:author="John Croft" w:id="3" w:date="2018-02-13T19:30:12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w:t>
      </w:r>
    </w:p>
  </w:comment>
  <w:comment w:author="Chrooffer" w:id="6" w:date="2018-02-13T19:49:51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w:t>
      </w:r>
    </w:p>
  </w:comment>
  <w:comment w:author="Chrooffer" w:id="2" w:date="2018-02-13T19:30:23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w:t>
      </w:r>
    </w:p>
  </w:comment>
  <w:comment w:author="John Croft" w:id="4" w:date="2018-02-13T19:29:00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w:t>
      </w:r>
    </w:p>
  </w:comment>
  <w:comment w:author="Chrooffer" w:id="5" w:date="2018-02-13T19:49:42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Result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tudentarbeten.chalmers.se/publication/202966-seu-mitigation-techniques-for-advanced-reprogrammable-fpga-in-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